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98" w:rsidRPr="00AE0FE4" w:rsidRDefault="00BB619C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E0FE4">
        <w:rPr>
          <w:rFonts w:ascii="Times New Roman" w:hAnsi="Times New Roman"/>
          <w:b/>
          <w:sz w:val="24"/>
          <w:szCs w:val="24"/>
          <w:lang w:val="kk-KZ"/>
        </w:rPr>
        <w:t xml:space="preserve">Утверждаю </w:t>
      </w:r>
    </w:p>
    <w:p w:rsidR="00BB619C" w:rsidRPr="00AE0FE4" w:rsidRDefault="00BB619C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Главный врач КГП на </w:t>
      </w:r>
      <w:r w:rsidRPr="00AE0FE4">
        <w:rPr>
          <w:rFonts w:ascii="Times New Roman" w:hAnsi="Times New Roman"/>
          <w:b/>
          <w:sz w:val="24"/>
          <w:szCs w:val="24"/>
        </w:rPr>
        <w:t>ПХВ «</w:t>
      </w:r>
      <w:proofErr w:type="spellStart"/>
      <w:r w:rsidR="00EC44E6">
        <w:rPr>
          <w:rFonts w:ascii="Times New Roman" w:hAnsi="Times New Roman"/>
          <w:b/>
          <w:sz w:val="24"/>
          <w:szCs w:val="24"/>
        </w:rPr>
        <w:t>Кентауская</w:t>
      </w:r>
      <w:proofErr w:type="spellEnd"/>
      <w:r w:rsidR="00EC44E6">
        <w:rPr>
          <w:rFonts w:ascii="Times New Roman" w:hAnsi="Times New Roman"/>
          <w:b/>
          <w:sz w:val="24"/>
          <w:szCs w:val="24"/>
        </w:rPr>
        <w:t xml:space="preserve"> центральная городская больница</w:t>
      </w:r>
      <w:r w:rsidRPr="00AE0FE4">
        <w:rPr>
          <w:rFonts w:ascii="Times New Roman" w:hAnsi="Times New Roman"/>
          <w:b/>
          <w:sz w:val="24"/>
          <w:szCs w:val="24"/>
        </w:rPr>
        <w:t>» УОЗ</w:t>
      </w:r>
      <w:r w:rsidR="00EC44E6">
        <w:rPr>
          <w:rFonts w:ascii="Times New Roman" w:hAnsi="Times New Roman"/>
          <w:b/>
          <w:sz w:val="24"/>
          <w:szCs w:val="24"/>
        </w:rPr>
        <w:t xml:space="preserve"> Туркестанской области</w:t>
      </w:r>
      <w:r w:rsidRPr="00AE0FE4">
        <w:rPr>
          <w:rFonts w:ascii="Times New Roman" w:hAnsi="Times New Roman"/>
          <w:b/>
          <w:sz w:val="24"/>
          <w:szCs w:val="24"/>
        </w:rPr>
        <w:t xml:space="preserve"> </w:t>
      </w:r>
    </w:p>
    <w:p w:rsidR="00BB619C" w:rsidRPr="00AE0FE4" w:rsidRDefault="00EC44E6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Сыздыкова</w:t>
      </w:r>
      <w:proofErr w:type="spellEnd"/>
      <w:r w:rsidR="00BB619C" w:rsidRPr="00AE0F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 w:rsidR="00BB619C" w:rsidRPr="00AE0FE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Ж</w:t>
      </w:r>
      <w:r w:rsidR="00BB619C" w:rsidRPr="00AE0FE4">
        <w:rPr>
          <w:rFonts w:ascii="Times New Roman" w:hAnsi="Times New Roman"/>
          <w:b/>
          <w:sz w:val="24"/>
          <w:szCs w:val="24"/>
        </w:rPr>
        <w:t xml:space="preserve">. </w:t>
      </w:r>
    </w:p>
    <w:p w:rsidR="00FE54A3" w:rsidRPr="00AE0FE4" w:rsidRDefault="00BB619C" w:rsidP="00F63D6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_______________________</w:t>
      </w:r>
    </w:p>
    <w:p w:rsidR="00FE54A3" w:rsidRPr="00AE0FE4" w:rsidRDefault="00FE54A3" w:rsidP="00A24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4E3" w:rsidRPr="00AE0FE4" w:rsidRDefault="00C064E3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Объявление</w:t>
      </w:r>
      <w:r w:rsidRPr="00AE0FE4">
        <w:rPr>
          <w:rFonts w:ascii="Times New Roman" w:hAnsi="Times New Roman"/>
          <w:b/>
          <w:sz w:val="24"/>
          <w:szCs w:val="24"/>
        </w:rPr>
        <w:br/>
        <w:t xml:space="preserve"> о проведении закупа способом запроса ценовых предложений</w:t>
      </w:r>
      <w:r w:rsidR="001D3945">
        <w:rPr>
          <w:rFonts w:ascii="Times New Roman" w:hAnsi="Times New Roman"/>
          <w:b/>
          <w:sz w:val="24"/>
          <w:szCs w:val="24"/>
        </w:rPr>
        <w:t xml:space="preserve"> №</w:t>
      </w:r>
      <w:r w:rsidR="006E5EE7">
        <w:rPr>
          <w:rFonts w:ascii="Times New Roman" w:hAnsi="Times New Roman"/>
          <w:b/>
          <w:sz w:val="24"/>
          <w:szCs w:val="24"/>
        </w:rPr>
        <w:t>6</w:t>
      </w: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4A3" w:rsidRPr="00AE0FE4" w:rsidRDefault="00F63D6D" w:rsidP="00FE54A3">
      <w:pPr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Кентау</w:t>
      </w:r>
      <w:proofErr w:type="spellEnd"/>
      <w:r w:rsidR="009A585D" w:rsidRPr="00AE0FE4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6E5EE7">
        <w:rPr>
          <w:rFonts w:ascii="Times New Roman" w:hAnsi="Times New Roman"/>
          <w:b/>
          <w:sz w:val="24"/>
          <w:szCs w:val="24"/>
          <w:lang w:val="kk-KZ"/>
        </w:rPr>
        <w:t>25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» </w:t>
      </w:r>
      <w:r w:rsidR="00981AB4">
        <w:rPr>
          <w:rFonts w:ascii="Times New Roman" w:hAnsi="Times New Roman"/>
          <w:b/>
          <w:sz w:val="24"/>
          <w:szCs w:val="24"/>
        </w:rPr>
        <w:t xml:space="preserve">марта 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202</w:t>
      </w:r>
      <w:r w:rsidR="00C43498" w:rsidRPr="00AE0FE4">
        <w:rPr>
          <w:rFonts w:ascii="Times New Roman" w:hAnsi="Times New Roman"/>
          <w:b/>
          <w:sz w:val="24"/>
          <w:szCs w:val="24"/>
        </w:rPr>
        <w:t>1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г</w:t>
      </w:r>
    </w:p>
    <w:p w:rsidR="00A2403F" w:rsidRPr="00353265" w:rsidRDefault="00F63D6D" w:rsidP="00C064E3">
      <w:pPr>
        <w:spacing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353265">
        <w:rPr>
          <w:rFonts w:ascii="Times New Roman" w:hAnsi="Times New Roman"/>
        </w:rPr>
        <w:t>Государственное коммунальное предприятие на праве хозяйственного ведения "</w:t>
      </w:r>
      <w:proofErr w:type="spellStart"/>
      <w:r w:rsidRPr="00353265">
        <w:rPr>
          <w:rFonts w:ascii="Times New Roman" w:hAnsi="Times New Roman"/>
        </w:rPr>
        <w:t>Кентауская</w:t>
      </w:r>
      <w:proofErr w:type="spellEnd"/>
      <w:r w:rsidRPr="00353265">
        <w:rPr>
          <w:rFonts w:ascii="Times New Roman" w:hAnsi="Times New Roman"/>
        </w:rPr>
        <w:t xml:space="preserve"> центральная городская больница" управления общественного здоровья Туркестанской области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 xml:space="preserve"> </w:t>
      </w:r>
      <w:r w:rsidR="00A2403F" w:rsidRPr="00353265">
        <w:rPr>
          <w:rFonts w:ascii="Times New Roman" w:hAnsi="Times New Roman"/>
          <w:sz w:val="24"/>
          <w:szCs w:val="24"/>
        </w:rPr>
        <w:t xml:space="preserve">расположенное по </w:t>
      </w:r>
      <w:proofErr w:type="spellStart"/>
      <w:r w:rsidR="00A2403F" w:rsidRPr="00353265">
        <w:rPr>
          <w:rFonts w:ascii="Times New Roman" w:hAnsi="Times New Roman"/>
          <w:sz w:val="24"/>
          <w:szCs w:val="24"/>
        </w:rPr>
        <w:t>адресу</w:t>
      </w:r>
      <w:proofErr w:type="gramStart"/>
      <w:r w:rsidR="00A2403F" w:rsidRPr="00353265">
        <w:rPr>
          <w:rFonts w:ascii="Times New Roman" w:hAnsi="Times New Roman"/>
          <w:sz w:val="24"/>
          <w:szCs w:val="24"/>
        </w:rPr>
        <w:t>,г</w:t>
      </w:r>
      <w:proofErr w:type="spellEnd"/>
      <w:proofErr w:type="gramEnd"/>
      <w:r w:rsidR="00A2403F" w:rsidRPr="003532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3265">
        <w:rPr>
          <w:rFonts w:ascii="Times New Roman" w:hAnsi="Times New Roman"/>
          <w:sz w:val="24"/>
          <w:szCs w:val="24"/>
        </w:rPr>
        <w:t>Кентау</w:t>
      </w:r>
      <w:proofErr w:type="spellEnd"/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Pr="00353265">
        <w:rPr>
          <w:rFonts w:ascii="Times New Roman" w:eastAsia="Times New Roman" w:hAnsi="Times New Roman"/>
          <w:sz w:val="24"/>
          <w:szCs w:val="24"/>
        </w:rPr>
        <w:t>пр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>.</w:t>
      </w:r>
      <w:r w:rsidR="00A2403F" w:rsidRPr="0035326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53265">
        <w:rPr>
          <w:rFonts w:ascii="Times New Roman" w:eastAsia="Times New Roman" w:hAnsi="Times New Roman"/>
          <w:sz w:val="24"/>
          <w:szCs w:val="24"/>
          <w:lang w:val="kk-KZ"/>
        </w:rPr>
        <w:t>Кунаева , 26</w:t>
      </w:r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="008603F6" w:rsidRPr="00353265">
        <w:rPr>
          <w:rFonts w:ascii="Times New Roman" w:hAnsi="Times New Roman"/>
          <w:sz w:val="24"/>
          <w:szCs w:val="24"/>
        </w:rPr>
        <w:t>объявляет о проведении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 xml:space="preserve"> закупа</w:t>
      </w:r>
      <w:r w:rsidR="003532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3945" w:rsidRPr="00353265">
        <w:rPr>
          <w:rFonts w:ascii="Times New Roman" w:hAnsi="Times New Roman"/>
          <w:sz w:val="24"/>
          <w:szCs w:val="24"/>
          <w:lang w:val="kk-KZ"/>
        </w:rPr>
        <w:t xml:space="preserve">медицинских изделий 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>способом</w:t>
      </w:r>
      <w:r w:rsidR="008603F6" w:rsidRPr="00353265">
        <w:rPr>
          <w:rFonts w:ascii="Times New Roman" w:hAnsi="Times New Roman"/>
          <w:sz w:val="24"/>
          <w:szCs w:val="24"/>
        </w:rPr>
        <w:t xml:space="preserve"> запроса ценовых </w:t>
      </w:r>
      <w:r w:rsidR="00C064E3" w:rsidRPr="00353265">
        <w:rPr>
          <w:rFonts w:ascii="Times New Roman" w:hAnsi="Times New Roman"/>
          <w:sz w:val="24"/>
          <w:szCs w:val="24"/>
        </w:rPr>
        <w:t>предложений.</w:t>
      </w:r>
    </w:p>
    <w:p w:rsidR="00A2403F" w:rsidRPr="00981AB4" w:rsidRDefault="00C86E71" w:rsidP="00981AB4">
      <w:pPr>
        <w:pStyle w:val="ab"/>
        <w:numPr>
          <w:ilvl w:val="0"/>
          <w:numId w:val="1"/>
        </w:numPr>
        <w:spacing w:after="0" w:line="240" w:lineRule="auto"/>
        <w:ind w:right="142" w:hanging="11"/>
        <w:jc w:val="both"/>
        <w:rPr>
          <w:rFonts w:ascii="Times New Roman" w:hAnsi="Times New Roman"/>
          <w:sz w:val="24"/>
          <w:szCs w:val="24"/>
        </w:rPr>
      </w:pPr>
      <w:r w:rsidRPr="00AE0FE4">
        <w:rPr>
          <w:rFonts w:ascii="Times New Roman" w:eastAsia="Times New Roman" w:hAnsi="Times New Roman"/>
          <w:sz w:val="24"/>
          <w:szCs w:val="24"/>
          <w:lang w:val="kk-KZ"/>
        </w:rPr>
        <w:t>Перечень закупаемых товаров:</w:t>
      </w:r>
    </w:p>
    <w:p w:rsidR="00FE54A3" w:rsidRPr="00AE0FE4" w:rsidRDefault="00FA3563" w:rsidP="00C064E3">
      <w:pPr>
        <w:pStyle w:val="ab"/>
        <w:numPr>
          <w:ilvl w:val="0"/>
          <w:numId w:val="1"/>
        </w:numPr>
        <w:tabs>
          <w:tab w:val="center" w:pos="1134"/>
        </w:tabs>
        <w:spacing w:line="240" w:lineRule="auto"/>
        <w:ind w:right="142"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</w:t>
      </w:r>
      <w:r w:rsidR="00FE54A3" w:rsidRPr="00AE0FE4">
        <w:rPr>
          <w:rFonts w:ascii="Times New Roman" w:hAnsi="Times New Roman"/>
          <w:sz w:val="24"/>
          <w:szCs w:val="24"/>
          <w:lang w:val="kk-KZ"/>
        </w:rPr>
        <w:t>словия поставки:</w:t>
      </w:r>
    </w:p>
    <w:p w:rsidR="00FE54A3" w:rsidRPr="00AE0FE4" w:rsidRDefault="00FA3563" w:rsidP="00C064E3">
      <w:pPr>
        <w:ind w:firstLine="40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FE54A3" w:rsidRPr="00AE0FE4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на условиях ИНКОТЕРМС 2010  (город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Кентау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пр.Кунаева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 26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="00FE54A3"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  <w:lang w:val="kk-KZ"/>
        </w:rPr>
        <w:t>3) место представления (приема) документов и окончательный срок подачи ценовых предложений;</w:t>
      </w:r>
      <w:bookmarkStart w:id="0" w:name="z199"/>
      <w:bookmarkEnd w:id="0"/>
    </w:p>
    <w:p w:rsidR="00FE54A3" w:rsidRPr="00AE0FE4" w:rsidRDefault="00F63D6D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t>Государственное коммунальное предприятие на праве хозяйственного ведения "</w:t>
      </w:r>
      <w:proofErr w:type="spellStart"/>
      <w:r>
        <w:t>Кентауская</w:t>
      </w:r>
      <w:proofErr w:type="spellEnd"/>
      <w:r>
        <w:t xml:space="preserve"> центральная городская больница" управления общественного здоровья Туркестанской области</w:t>
      </w:r>
      <w:r w:rsidR="00FE54A3" w:rsidRPr="00AE0FE4">
        <w:rPr>
          <w:spacing w:val="2"/>
        </w:rPr>
        <w:t xml:space="preserve">, </w:t>
      </w:r>
      <w:proofErr w:type="spellStart"/>
      <w:r>
        <w:rPr>
          <w:spacing w:val="2"/>
        </w:rPr>
        <w:t>пр</w:t>
      </w:r>
      <w:proofErr w:type="gramStart"/>
      <w:r>
        <w:rPr>
          <w:spacing w:val="2"/>
        </w:rPr>
        <w:t>.К</w:t>
      </w:r>
      <w:proofErr w:type="gramEnd"/>
      <w:r>
        <w:rPr>
          <w:spacing w:val="2"/>
        </w:rPr>
        <w:t>унаева</w:t>
      </w:r>
      <w:proofErr w:type="spellEnd"/>
      <w:r>
        <w:rPr>
          <w:spacing w:val="2"/>
        </w:rPr>
        <w:t xml:space="preserve"> 26</w:t>
      </w:r>
      <w:r w:rsidR="00FE54A3" w:rsidRPr="00AE0FE4">
        <w:rPr>
          <w:spacing w:val="2"/>
        </w:rPr>
        <w:t xml:space="preserve">, </w:t>
      </w:r>
      <w:r>
        <w:rPr>
          <w:spacing w:val="2"/>
        </w:rPr>
        <w:t>второй</w:t>
      </w:r>
      <w:r w:rsidR="00FE54A3" w:rsidRPr="00AE0FE4">
        <w:rPr>
          <w:spacing w:val="2"/>
        </w:rPr>
        <w:t xml:space="preserve"> этаж, </w:t>
      </w:r>
      <w:r>
        <w:rPr>
          <w:spacing w:val="2"/>
        </w:rPr>
        <w:t>кабинет</w:t>
      </w:r>
      <w:r w:rsidR="00FE54A3" w:rsidRPr="00AE0FE4">
        <w:rPr>
          <w:spacing w:val="2"/>
        </w:rPr>
        <w:t xml:space="preserve"> государственных закупок</w:t>
      </w:r>
      <w:r>
        <w:rPr>
          <w:spacing w:val="2"/>
        </w:rPr>
        <w:t xml:space="preserve"> №207</w:t>
      </w:r>
      <w:r w:rsidR="00FE54A3" w:rsidRPr="00AE0FE4">
        <w:rPr>
          <w:spacing w:val="2"/>
        </w:rPr>
        <w:t>, окончательный срок представления</w:t>
      </w:r>
      <w:r w:rsidR="007C0D57">
        <w:rPr>
          <w:spacing w:val="2"/>
        </w:rPr>
        <w:t xml:space="preserve"> подачи ценовых предложений до </w:t>
      </w:r>
      <w:r w:rsidR="00981AB4">
        <w:rPr>
          <w:spacing w:val="2"/>
        </w:rPr>
        <w:t>13</w:t>
      </w:r>
      <w:r w:rsidR="00FE54A3" w:rsidRPr="00AE0FE4">
        <w:rPr>
          <w:spacing w:val="2"/>
        </w:rPr>
        <w:t xml:space="preserve">:00 (времени </w:t>
      </w:r>
      <w:proofErr w:type="spellStart"/>
      <w:r w:rsidR="00FE54A3" w:rsidRPr="00AE0FE4">
        <w:rPr>
          <w:spacing w:val="2"/>
        </w:rPr>
        <w:t>Нур-Султан</w:t>
      </w:r>
      <w:proofErr w:type="spellEnd"/>
      <w:r w:rsidR="00FE54A3" w:rsidRPr="00AE0FE4">
        <w:rPr>
          <w:spacing w:val="2"/>
        </w:rPr>
        <w:t>) «</w:t>
      </w:r>
      <w:r w:rsidR="006E5EE7">
        <w:rPr>
          <w:spacing w:val="2"/>
        </w:rPr>
        <w:t>31</w:t>
      </w:r>
      <w:r w:rsidR="00FE54A3" w:rsidRPr="00AE0FE4">
        <w:rPr>
          <w:spacing w:val="2"/>
        </w:rPr>
        <w:t xml:space="preserve">» </w:t>
      </w:r>
      <w:r w:rsidR="00981AB4">
        <w:rPr>
          <w:spacing w:val="2"/>
        </w:rPr>
        <w:t xml:space="preserve">марта </w:t>
      </w:r>
      <w:r w:rsidR="00FE54A3" w:rsidRPr="00AE0FE4">
        <w:rPr>
          <w:spacing w:val="2"/>
        </w:rPr>
        <w:t>202</w:t>
      </w:r>
      <w:r w:rsidR="00C064E3" w:rsidRPr="00AE0FE4">
        <w:rPr>
          <w:spacing w:val="2"/>
        </w:rPr>
        <w:t>1</w:t>
      </w:r>
      <w:r w:rsidR="00FE54A3" w:rsidRPr="00AE0FE4">
        <w:rPr>
          <w:spacing w:val="2"/>
        </w:rPr>
        <w:t xml:space="preserve"> года.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E0FE4">
        <w:rPr>
          <w:spacing w:val="2"/>
          <w:lang w:val="kk-KZ"/>
        </w:rPr>
        <w:t xml:space="preserve">4) дата, время и место вскрытия конвертов с ценовыми предложениями - </w:t>
      </w:r>
      <w:r w:rsidR="00F63D6D">
        <w:rPr>
          <w:spacing w:val="2"/>
          <w:lang w:val="kk-KZ"/>
        </w:rPr>
        <w:t>14</w:t>
      </w:r>
      <w:r w:rsidRPr="00AE0FE4">
        <w:rPr>
          <w:spacing w:val="2"/>
        </w:rPr>
        <w:t xml:space="preserve">:00 (времени </w:t>
      </w:r>
      <w:proofErr w:type="spellStart"/>
      <w:r w:rsidRPr="00AE0FE4">
        <w:rPr>
          <w:spacing w:val="2"/>
        </w:rPr>
        <w:t>Нур-Султан</w:t>
      </w:r>
      <w:proofErr w:type="spellEnd"/>
      <w:r w:rsidRPr="00AE0FE4">
        <w:rPr>
          <w:spacing w:val="2"/>
        </w:rPr>
        <w:t>) «</w:t>
      </w:r>
      <w:r w:rsidR="006E5EE7">
        <w:rPr>
          <w:spacing w:val="2"/>
        </w:rPr>
        <w:t>31</w:t>
      </w:r>
      <w:r w:rsidRPr="00AE0FE4">
        <w:rPr>
          <w:spacing w:val="2"/>
        </w:rPr>
        <w:t>»</w:t>
      </w:r>
      <w:r w:rsidR="00981AB4">
        <w:rPr>
          <w:spacing w:val="2"/>
        </w:rPr>
        <w:t xml:space="preserve"> марта</w:t>
      </w:r>
      <w:r w:rsidRPr="00AE0FE4">
        <w:rPr>
          <w:spacing w:val="2"/>
        </w:rPr>
        <w:t xml:space="preserve"> 202</w:t>
      </w:r>
      <w:r w:rsidR="00C064E3" w:rsidRPr="00AE0FE4">
        <w:rPr>
          <w:spacing w:val="2"/>
        </w:rPr>
        <w:t>1</w:t>
      </w:r>
      <w:r w:rsidRPr="00AE0FE4">
        <w:rPr>
          <w:spacing w:val="2"/>
        </w:rPr>
        <w:t xml:space="preserve"> года</w:t>
      </w:r>
      <w:r w:rsidRPr="00AE0FE4">
        <w:rPr>
          <w:spacing w:val="2"/>
          <w:lang w:val="kk-KZ"/>
        </w:rPr>
        <w:t xml:space="preserve">, </w:t>
      </w:r>
      <w:r w:rsidR="00F63D6D">
        <w:t>Государственное коммунальное предприятие на праве хозяйственного ведения "</w:t>
      </w:r>
      <w:proofErr w:type="spellStart"/>
      <w:r w:rsidR="00F63D6D">
        <w:t>Кентауская</w:t>
      </w:r>
      <w:proofErr w:type="spellEnd"/>
      <w:r w:rsidR="00F63D6D">
        <w:t xml:space="preserve"> центральная городская больница" управления общественного здоровья Туркестанской области</w:t>
      </w:r>
      <w:r w:rsidR="00F63D6D" w:rsidRPr="00AE0FE4">
        <w:rPr>
          <w:spacing w:val="2"/>
        </w:rPr>
        <w:t xml:space="preserve">, </w:t>
      </w:r>
      <w:proofErr w:type="spellStart"/>
      <w:r w:rsidR="00F63D6D">
        <w:rPr>
          <w:spacing w:val="2"/>
        </w:rPr>
        <w:t>пр.Кунаева</w:t>
      </w:r>
      <w:proofErr w:type="spellEnd"/>
      <w:r w:rsidR="00F63D6D">
        <w:rPr>
          <w:spacing w:val="2"/>
        </w:rPr>
        <w:t xml:space="preserve"> 26</w:t>
      </w:r>
      <w:r w:rsidR="00F63D6D" w:rsidRPr="00AE0FE4">
        <w:rPr>
          <w:spacing w:val="2"/>
        </w:rPr>
        <w:t xml:space="preserve">, </w:t>
      </w:r>
      <w:r w:rsidR="00F63D6D">
        <w:rPr>
          <w:spacing w:val="2"/>
        </w:rPr>
        <w:t>второй</w:t>
      </w:r>
      <w:r w:rsidR="00F63D6D" w:rsidRPr="00AE0FE4">
        <w:rPr>
          <w:spacing w:val="2"/>
        </w:rPr>
        <w:t xml:space="preserve"> этаж, </w:t>
      </w:r>
      <w:r w:rsidR="00F63D6D">
        <w:rPr>
          <w:spacing w:val="2"/>
        </w:rPr>
        <w:t>кабинет</w:t>
      </w:r>
      <w:r w:rsidR="00F63D6D" w:rsidRPr="00AE0FE4">
        <w:rPr>
          <w:spacing w:val="2"/>
        </w:rPr>
        <w:t xml:space="preserve"> государственных закупок</w:t>
      </w:r>
      <w:r w:rsidR="00F63D6D">
        <w:rPr>
          <w:spacing w:val="2"/>
        </w:rPr>
        <w:t xml:space="preserve"> №207</w:t>
      </w:r>
      <w:r w:rsidR="00C064E3" w:rsidRPr="00AE0FE4">
        <w:rPr>
          <w:spacing w:val="2"/>
        </w:rPr>
        <w:t>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</w:rPr>
        <w:t xml:space="preserve">5) В соответствии с пунктом 9 пункта 20 Главы 4 Правил организации и проведения закупа лекарственных средств и медицинских изделий, фармацевтических услуг, представленные в ценовом предложении потенциального поставщика товары </w:t>
      </w:r>
      <w:r w:rsidRPr="00AE0FE4">
        <w:rPr>
          <w:b/>
          <w:spacing w:val="2"/>
        </w:rPr>
        <w:t>должны соответствовать</w:t>
      </w:r>
      <w:r w:rsidRPr="00AE0FE4">
        <w:rPr>
          <w:spacing w:val="2"/>
        </w:rPr>
        <w:t xml:space="preserve"> характеристике (комплектации), указанной в объявлении.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FE54A3" w:rsidRPr="00AE0FE4" w:rsidRDefault="00FE54A3" w:rsidP="00FE54A3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AE0FE4">
        <w:rPr>
          <w:rStyle w:val="s0"/>
          <w:b/>
          <w:color w:val="auto"/>
          <w:sz w:val="24"/>
          <w:szCs w:val="24"/>
        </w:rPr>
        <w:t>запечатанном виде</w:t>
      </w:r>
      <w:r w:rsidRPr="00AE0FE4">
        <w:rPr>
          <w:rStyle w:val="s0"/>
          <w:color w:val="auto"/>
          <w:sz w:val="24"/>
          <w:szCs w:val="24"/>
        </w:rPr>
        <w:t xml:space="preserve">.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bCs/>
          <w:color w:val="auto"/>
          <w:sz w:val="24"/>
          <w:szCs w:val="24"/>
        </w:rPr>
      </w:pPr>
      <w:r w:rsidRPr="00AE0FE4">
        <w:rPr>
          <w:rStyle w:val="s0"/>
          <w:b/>
          <w:bCs/>
          <w:color w:val="auto"/>
          <w:sz w:val="24"/>
          <w:szCs w:val="24"/>
        </w:rPr>
        <w:t>Конверт</w:t>
      </w:r>
      <w:r w:rsidR="00C064E3" w:rsidRPr="00AE0FE4">
        <w:rPr>
          <w:rStyle w:val="s0"/>
          <w:b/>
          <w:bCs/>
          <w:color w:val="auto"/>
          <w:sz w:val="24"/>
          <w:szCs w:val="24"/>
        </w:rPr>
        <w:t xml:space="preserve"> должен содержать</w:t>
      </w:r>
      <w:r w:rsidRPr="00AE0FE4">
        <w:rPr>
          <w:rStyle w:val="s0"/>
          <w:b/>
          <w:bCs/>
          <w:color w:val="auto"/>
          <w:sz w:val="24"/>
          <w:szCs w:val="24"/>
        </w:rPr>
        <w:t>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ценовое предложение по форме, утвержденной уполномоченным органом в области здравоохранения,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lastRenderedPageBreak/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AE0FE4">
          <w:rPr>
            <w:rStyle w:val="aa"/>
            <w:rFonts w:ascii="Times New Roman" w:hAnsi="Times New Roman"/>
            <w:color w:val="auto"/>
            <w:sz w:val="24"/>
            <w:szCs w:val="24"/>
          </w:rPr>
          <w:t>главой 4</w:t>
        </w:r>
      </w:hyperlink>
      <w:r w:rsidRPr="00AE0FE4">
        <w:rPr>
          <w:rStyle w:val="s0"/>
          <w:color w:val="auto"/>
          <w:sz w:val="24"/>
          <w:szCs w:val="24"/>
        </w:rPr>
        <w:t xml:space="preserve"> Правил: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bookmarkStart w:id="1" w:name="SUB10700"/>
      <w:bookmarkEnd w:id="1"/>
      <w:r w:rsidRPr="00AE0FE4">
        <w:rPr>
          <w:rStyle w:val="s0"/>
          <w:color w:val="auto"/>
        </w:rPr>
        <w:t xml:space="preserve">1) наличие регистрации лекарственных средств, медицинских изделий в Республике Казахстан в соответствии с положениями </w:t>
      </w:r>
      <w:hyperlink r:id="rId6" w:history="1">
        <w:r w:rsidRPr="00AE0FE4">
          <w:rPr>
            <w:rStyle w:val="aa"/>
            <w:rFonts w:ascii="Times New Roman" w:hAnsi="Times New Roman"/>
            <w:color w:val="auto"/>
          </w:rPr>
          <w:t>Кодекса</w:t>
        </w:r>
      </w:hyperlink>
      <w:r w:rsidRPr="00AE0FE4">
        <w:rPr>
          <w:rStyle w:val="s0"/>
          <w:color w:val="auto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включенных в </w:t>
      </w:r>
      <w:hyperlink r:id="rId7" w:history="1">
        <w:proofErr w:type="spellStart"/>
        <w:r w:rsidRPr="00AE0FE4">
          <w:rPr>
            <w:rStyle w:val="aa"/>
            <w:rFonts w:ascii="Times New Roman" w:hAnsi="Times New Roman"/>
            <w:color w:val="auto"/>
          </w:rPr>
          <w:t>перечень</w:t>
        </w:r>
      </w:hyperlink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комплектующих, входящих в состав медицинского изделия и не используемых в качестве самостоятельного </w:t>
      </w:r>
      <w:r w:rsidRPr="00AE0FE4">
        <w:rPr>
          <w:rStyle w:val="s0"/>
        </w:rPr>
        <w:t>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2) лекарственные средства,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3) маркировка, потребительская упаковка и инструкция по применению лекарственных средств, медицинских изделий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4) срок годности лекарственных средств, медицинских изделий на дату поставки поставщиком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5) срок годности лекарственных средств, медицинских изделий на дату поставки поставщиком единому дистрибьютору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6) срок годности лекарственных средств, медицинских изделий,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тридцати процентов от срока годности, указанного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восьми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7) срок годности вакцин на дату поставки единым дистрибьютором заказчику составляет: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сорока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десяти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</w:rPr>
      </w:pPr>
      <w:r w:rsidRPr="00AE0FE4">
        <w:rPr>
          <w:rStyle w:val="s0"/>
        </w:rPr>
        <w:t>9) Лекарственные средства, медицинские изделия по своей характеристике (комплектации) должны соответствовать характеристике (комплектации), указанной в объявлении или приглашении на закуп;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10)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(или) торговому наименованию утвержденных в порядке, определенным уполномоченным органом в области здравоохранения в соответствии с правилами регулирования цен на лекарственные средства,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страхования.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sz w:val="24"/>
          <w:szCs w:val="24"/>
          <w:u w:val="single"/>
        </w:rPr>
      </w:pPr>
      <w:r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rPr>
          <w:rFonts w:ascii="Times New Roman" w:eastAsia="Times New Roman" w:hAnsi="Times New Roman"/>
          <w:lang w:eastAsia="ru-RU"/>
        </w:rPr>
      </w:pPr>
      <w:r w:rsidRPr="00AE0FE4">
        <w:rPr>
          <w:rFonts w:ascii="Times New Roman" w:hAnsi="Times New Roman"/>
        </w:rPr>
        <w:br w:type="page"/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  <w:sectPr w:rsidR="00FE54A3" w:rsidRPr="00AE0FE4" w:rsidSect="00987DB4">
          <w:pgSz w:w="16838" w:h="11906" w:orient="landscape"/>
          <w:pgMar w:top="284" w:right="395" w:bottom="720" w:left="567" w:header="708" w:footer="708" w:gutter="0"/>
          <w:cols w:space="708"/>
          <w:docGrid w:linePitch="360"/>
        </w:sectPr>
      </w:pP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lastRenderedPageBreak/>
        <w:t>Приложение 12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к</w:t>
      </w:r>
      <w:r w:rsidRPr="00AE0FE4">
        <w:rPr>
          <w:rStyle w:val="apple-converted-space"/>
          <w:sz w:val="22"/>
          <w:szCs w:val="22"/>
        </w:rPr>
        <w:t> </w:t>
      </w:r>
      <w:hyperlink r:id="rId8" w:tgtFrame="_parent" w:history="1">
        <w:r w:rsidRPr="00AE0FE4">
          <w:rPr>
            <w:rStyle w:val="a5"/>
            <w:bCs/>
            <w:sz w:val="22"/>
            <w:szCs w:val="22"/>
          </w:rPr>
          <w:t>приказу</w:t>
        </w:r>
      </w:hyperlink>
      <w:r w:rsidRPr="00AE0FE4">
        <w:rPr>
          <w:rStyle w:val="apple-converted-space"/>
          <w:sz w:val="22"/>
          <w:szCs w:val="22"/>
        </w:rPr>
        <w:t> </w:t>
      </w:r>
      <w:r w:rsidRPr="00AE0FE4">
        <w:rPr>
          <w:sz w:val="22"/>
          <w:szCs w:val="22"/>
        </w:rPr>
        <w:t>Министра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здравоохранения и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социального развития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Республики Казахстан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от «18» января 2017 года №20</w:t>
      </w:r>
    </w:p>
    <w:p w:rsidR="00FE54A3" w:rsidRPr="00AE0FE4" w:rsidRDefault="00FE54A3" w:rsidP="00FE54A3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 </w:t>
      </w: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Форма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2"/>
          <w:szCs w:val="22"/>
        </w:rPr>
      </w:pP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Ценовое предложение потенциального поставщика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(наименование потенциального поставщика) (заполняется отдельно на каждый лот)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 xml:space="preserve">Описание лекарственного средства (международное непатентованное наименование, состав </w:t>
            </w:r>
            <w:proofErr w:type="spellStart"/>
            <w:r w:rsidRPr="00AE0FE4">
              <w:rPr>
                <w:spacing w:val="2"/>
                <w:sz w:val="22"/>
                <w:szCs w:val="22"/>
              </w:rPr>
              <w:t>лекарственногосредства</w:t>
            </w:r>
            <w:proofErr w:type="spellEnd"/>
            <w:r w:rsidRPr="00AE0FE4">
              <w:rPr>
                <w:spacing w:val="2"/>
                <w:sz w:val="22"/>
                <w:szCs w:val="22"/>
              </w:rPr>
              <w:t>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_________ Печать (при наличии) _______________________________________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Подпись             должность, фамилия, имя, отчество (при его наличии)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FE54A3" w:rsidRPr="00AE0FE4" w:rsidRDefault="00FE54A3" w:rsidP="00FE54A3">
      <w:pPr>
        <w:rPr>
          <w:rFonts w:ascii="Times New Roman" w:hAnsi="Times New Roman"/>
        </w:rPr>
      </w:pPr>
    </w:p>
    <w:p w:rsidR="00C43498" w:rsidRPr="00AE0FE4" w:rsidRDefault="00C43498" w:rsidP="0069750E">
      <w:pPr>
        <w:spacing w:line="240" w:lineRule="auto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3498" w:rsidRPr="00AE0FE4" w:rsidSect="00FE54A3">
      <w:pgSz w:w="11906" w:h="16838"/>
      <w:pgMar w:top="212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C0"/>
    <w:multiLevelType w:val="hybridMultilevel"/>
    <w:tmpl w:val="16C4C90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9D"/>
    <w:rsid w:val="0000387B"/>
    <w:rsid w:val="000472B3"/>
    <w:rsid w:val="000F6126"/>
    <w:rsid w:val="00113514"/>
    <w:rsid w:val="0016357A"/>
    <w:rsid w:val="00172F34"/>
    <w:rsid w:val="001D3945"/>
    <w:rsid w:val="00220455"/>
    <w:rsid w:val="00233A6D"/>
    <w:rsid w:val="0026229B"/>
    <w:rsid w:val="00285C8E"/>
    <w:rsid w:val="002A1FA7"/>
    <w:rsid w:val="002A70A4"/>
    <w:rsid w:val="002B0E3E"/>
    <w:rsid w:val="002F43D7"/>
    <w:rsid w:val="003256B5"/>
    <w:rsid w:val="00353265"/>
    <w:rsid w:val="00363297"/>
    <w:rsid w:val="004024D4"/>
    <w:rsid w:val="0046421E"/>
    <w:rsid w:val="00480654"/>
    <w:rsid w:val="00495178"/>
    <w:rsid w:val="005020FD"/>
    <w:rsid w:val="00543822"/>
    <w:rsid w:val="005529C8"/>
    <w:rsid w:val="00562EC1"/>
    <w:rsid w:val="00570D58"/>
    <w:rsid w:val="005750E2"/>
    <w:rsid w:val="005C195D"/>
    <w:rsid w:val="005C6D0E"/>
    <w:rsid w:val="005D3509"/>
    <w:rsid w:val="005F02EC"/>
    <w:rsid w:val="005F7247"/>
    <w:rsid w:val="006453CB"/>
    <w:rsid w:val="00671552"/>
    <w:rsid w:val="0069750E"/>
    <w:rsid w:val="006A1514"/>
    <w:rsid w:val="006E5EE7"/>
    <w:rsid w:val="007B2B53"/>
    <w:rsid w:val="007C0D57"/>
    <w:rsid w:val="00844DC3"/>
    <w:rsid w:val="008603F6"/>
    <w:rsid w:val="008914F0"/>
    <w:rsid w:val="008B0EC6"/>
    <w:rsid w:val="008C0175"/>
    <w:rsid w:val="008F1CB4"/>
    <w:rsid w:val="00917EE3"/>
    <w:rsid w:val="00943178"/>
    <w:rsid w:val="00981AB4"/>
    <w:rsid w:val="00987DB4"/>
    <w:rsid w:val="009A585D"/>
    <w:rsid w:val="009B2032"/>
    <w:rsid w:val="00A2403F"/>
    <w:rsid w:val="00A46F59"/>
    <w:rsid w:val="00A53417"/>
    <w:rsid w:val="00A54063"/>
    <w:rsid w:val="00A60E5A"/>
    <w:rsid w:val="00AB06A3"/>
    <w:rsid w:val="00AE0FE4"/>
    <w:rsid w:val="00B22D17"/>
    <w:rsid w:val="00B80DF0"/>
    <w:rsid w:val="00BB619C"/>
    <w:rsid w:val="00BC2A00"/>
    <w:rsid w:val="00BC3ED5"/>
    <w:rsid w:val="00C064E3"/>
    <w:rsid w:val="00C14DD6"/>
    <w:rsid w:val="00C43498"/>
    <w:rsid w:val="00C86E71"/>
    <w:rsid w:val="00C87A31"/>
    <w:rsid w:val="00CE5DBA"/>
    <w:rsid w:val="00D6683D"/>
    <w:rsid w:val="00D917B5"/>
    <w:rsid w:val="00E005B1"/>
    <w:rsid w:val="00E96975"/>
    <w:rsid w:val="00E96D67"/>
    <w:rsid w:val="00EC44E6"/>
    <w:rsid w:val="00EE4B81"/>
    <w:rsid w:val="00F34DAF"/>
    <w:rsid w:val="00F63D6D"/>
    <w:rsid w:val="00F65C77"/>
    <w:rsid w:val="00FA3563"/>
    <w:rsid w:val="00FB609D"/>
    <w:rsid w:val="00FC0C0C"/>
    <w:rsid w:val="00FD7574"/>
    <w:rsid w:val="00F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4653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117483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4FE7-8A8B-4E92-8FEE-7B0D4BF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Сауле</cp:lastModifiedBy>
  <cp:revision>12</cp:revision>
  <cp:lastPrinted>2021-01-18T12:24:00Z</cp:lastPrinted>
  <dcterms:created xsi:type="dcterms:W3CDTF">2021-02-19T04:07:00Z</dcterms:created>
  <dcterms:modified xsi:type="dcterms:W3CDTF">2021-03-25T10:41:00Z</dcterms:modified>
</cp:coreProperties>
</file>